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383" w14:textId="058778B5" w:rsidR="009611F1" w:rsidRDefault="009611F1" w:rsidP="00CC06C3">
      <w:pPr>
        <w:jc w:val="center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UNNM </w:t>
      </w:r>
      <w:r w:rsidR="001C1771">
        <w:rPr>
          <w:rFonts w:eastAsia="Times New Roman"/>
          <w:b/>
          <w:bCs/>
          <w:lang w:val="en-US"/>
        </w:rPr>
        <w:t>5</w:t>
      </w:r>
      <w:r w:rsidR="001C1771" w:rsidRPr="001C1771">
        <w:rPr>
          <w:rFonts w:eastAsia="Times New Roman"/>
          <w:b/>
          <w:bCs/>
          <w:vertAlign w:val="superscript"/>
          <w:lang w:val="en-US"/>
        </w:rPr>
        <w:t>th</w:t>
      </w:r>
      <w:r w:rsidR="001C1771">
        <w:rPr>
          <w:rFonts w:eastAsia="Times New Roman"/>
          <w:b/>
          <w:bCs/>
          <w:lang w:val="en-US"/>
        </w:rPr>
        <w:t xml:space="preserve"> Annual Meeting </w:t>
      </w:r>
      <w:r w:rsidR="00CC06C3">
        <w:rPr>
          <w:rFonts w:eastAsia="Times New Roman"/>
          <w:b/>
          <w:bCs/>
          <w:lang w:val="en-US"/>
        </w:rPr>
        <w:t>(30-31 January 2024)</w:t>
      </w:r>
    </w:p>
    <w:p w14:paraId="6336262E" w14:textId="77777777" w:rsidR="001C1771" w:rsidRDefault="001C1771" w:rsidP="000F2FFD">
      <w:pPr>
        <w:rPr>
          <w:rFonts w:eastAsia="Times New Roman"/>
          <w:b/>
          <w:bCs/>
          <w:lang w:val="en-US"/>
        </w:rPr>
      </w:pPr>
    </w:p>
    <w:p w14:paraId="7B309E6A" w14:textId="392E74D2" w:rsidR="001C1771" w:rsidRDefault="001C1771" w:rsidP="00CC06C3">
      <w:pPr>
        <w:jc w:val="center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Protecting Migrants’ Rights and Saving Lives – Looking Forward </w:t>
      </w:r>
      <w:r w:rsidRPr="001C1771">
        <w:rPr>
          <w:rFonts w:eastAsia="Times New Roman"/>
          <w:b/>
          <w:bCs/>
          <w:lang w:val="en-US"/>
        </w:rPr>
        <w:t>Strengthening Advocacy at Global, Regional &amp; Country Levels</w:t>
      </w:r>
    </w:p>
    <w:p w14:paraId="018B98C4" w14:textId="77777777" w:rsidR="001C1771" w:rsidRDefault="001C1771" w:rsidP="000F2FFD">
      <w:pPr>
        <w:rPr>
          <w:rFonts w:eastAsia="Times New Roman"/>
          <w:b/>
          <w:bCs/>
          <w:lang w:val="en-US"/>
        </w:rPr>
      </w:pPr>
    </w:p>
    <w:p w14:paraId="469D649F" w14:textId="73A4DE1A" w:rsidR="000F2FFD" w:rsidRDefault="001C1771" w:rsidP="000F2FFD">
      <w:pPr>
        <w:rPr>
          <w:rFonts w:eastAsia="Times New Roman"/>
        </w:rPr>
      </w:pPr>
      <w:r>
        <w:rPr>
          <w:rFonts w:eastAsia="Times New Roman"/>
          <w:lang w:val="en-US"/>
        </w:rPr>
        <w:t>What we have heard is distressing and frustrating. I am r</w:t>
      </w:r>
      <w:proofErr w:type="spellStart"/>
      <w:r w:rsidR="000F2FFD">
        <w:rPr>
          <w:rFonts w:eastAsia="Times New Roman"/>
        </w:rPr>
        <w:t>eminded</w:t>
      </w:r>
      <w:proofErr w:type="spellEnd"/>
      <w:r w:rsidR="000F2FFD">
        <w:rPr>
          <w:rFonts w:eastAsia="Times New Roman"/>
        </w:rPr>
        <w:t xml:space="preserve"> when I hear </w:t>
      </w:r>
      <w:proofErr w:type="spellStart"/>
      <w:r w:rsidR="000F2FFD">
        <w:rPr>
          <w:rFonts w:eastAsia="Times New Roman"/>
        </w:rPr>
        <w:t>stor</w:t>
      </w:r>
      <w:r>
        <w:rPr>
          <w:rFonts w:eastAsia="Times New Roman"/>
          <w:lang w:val="en-US"/>
        </w:rPr>
        <w:t>ies</w:t>
      </w:r>
      <w:proofErr w:type="spellEnd"/>
      <w:r w:rsidR="000F2FFD">
        <w:rPr>
          <w:rFonts w:eastAsia="Times New Roman"/>
        </w:rPr>
        <w:t xml:space="preserve"> or stat</w:t>
      </w:r>
      <w:proofErr w:type="spellStart"/>
      <w:r>
        <w:rPr>
          <w:rFonts w:eastAsia="Times New Roman"/>
          <w:lang w:val="en-US"/>
        </w:rPr>
        <w:t>istics</w:t>
      </w:r>
      <w:proofErr w:type="spellEnd"/>
      <w:r>
        <w:rPr>
          <w:rFonts w:eastAsia="Times New Roman"/>
          <w:lang w:val="en-US"/>
        </w:rPr>
        <w:t xml:space="preserve"> about loss of migrant lives </w:t>
      </w:r>
      <w:r w:rsidR="000F2FFD">
        <w:rPr>
          <w:rFonts w:eastAsia="Times New Roman"/>
        </w:rPr>
        <w:t>of a question from British journalist Daniel Trilling:  </w:t>
      </w:r>
    </w:p>
    <w:p w14:paraId="437930C5" w14:textId="77777777" w:rsidR="000F2FFD" w:rsidRDefault="000F2FFD" w:rsidP="000F2FFD">
      <w:pPr>
        <w:ind w:left="720"/>
        <w:rPr>
          <w:rFonts w:eastAsia="Times New Roman"/>
        </w:rPr>
      </w:pPr>
    </w:p>
    <w:p w14:paraId="1F29F2C4" w14:textId="3AF9EE2C" w:rsidR="000F2FFD" w:rsidRPr="002A6E84" w:rsidRDefault="000F2FFD" w:rsidP="000F2FFD">
      <w:pPr>
        <w:ind w:left="720"/>
        <w:rPr>
          <w:rFonts w:eastAsia="Times New Roman"/>
          <w:lang w:val="en-US"/>
        </w:rPr>
      </w:pPr>
      <w:r>
        <w:rPr>
          <w:rFonts w:eastAsia="Times New Roman"/>
        </w:rPr>
        <w:t>People develop attachments to places, they move, they develop attachments to new places, and to new people. If you think people have a right to do that, then the question is how to support it. If you don’t, then you need to ask yourself: what level of violence are you prepared to tolerate to keep people in their place?</w:t>
      </w:r>
      <w:r w:rsidR="002A6E84">
        <w:rPr>
          <w:rStyle w:val="FootnoteReference"/>
          <w:rFonts w:eastAsia="Times New Roman"/>
        </w:rPr>
        <w:footnoteReference w:id="1"/>
      </w:r>
    </w:p>
    <w:p w14:paraId="27531C3A" w14:textId="77777777" w:rsidR="000F2FFD" w:rsidRDefault="000F2FFD" w:rsidP="000F2FFD">
      <w:pPr>
        <w:rPr>
          <w:rFonts w:eastAsia="Times New Roman"/>
        </w:rPr>
      </w:pPr>
    </w:p>
    <w:p w14:paraId="3A6E9A70" w14:textId="468F237C" w:rsidR="000F2FFD" w:rsidRDefault="000F2FFD" w:rsidP="000F2FFD">
      <w:pPr>
        <w:rPr>
          <w:rFonts w:eastAsia="Times New Roman"/>
        </w:rPr>
      </w:pPr>
      <w:r>
        <w:rPr>
          <w:rFonts w:eastAsia="Times New Roman"/>
        </w:rPr>
        <w:t xml:space="preserve">Both </w:t>
      </w:r>
      <w:r w:rsidR="002A6E84">
        <w:rPr>
          <w:rFonts w:eastAsia="Times New Roman"/>
          <w:lang w:val="en-US"/>
        </w:rPr>
        <w:t xml:space="preserve">elements of this </w:t>
      </w:r>
      <w:r>
        <w:rPr>
          <w:rFonts w:eastAsia="Times New Roman"/>
        </w:rPr>
        <w:t>question are reminders of agency - we do not all have the same level of power and influence but all in this room have some power and some influence. </w:t>
      </w:r>
    </w:p>
    <w:p w14:paraId="2711CE3E" w14:textId="77777777" w:rsidR="000F2FFD" w:rsidRDefault="000F2FFD" w:rsidP="000F2FFD">
      <w:pPr>
        <w:rPr>
          <w:rFonts w:eastAsia="Times New Roman"/>
        </w:rPr>
      </w:pPr>
    </w:p>
    <w:p w14:paraId="32F16E6B" w14:textId="65683701" w:rsidR="000F2FFD" w:rsidRDefault="002A6E84" w:rsidP="000F2FFD">
      <w:pPr>
        <w:rPr>
          <w:rFonts w:eastAsia="Times New Roman"/>
        </w:rPr>
      </w:pPr>
      <w:r>
        <w:rPr>
          <w:rFonts w:eastAsia="Times New Roman"/>
          <w:lang w:val="en-US"/>
        </w:rPr>
        <w:t>So h</w:t>
      </w:r>
      <w:r w:rsidR="000F2FFD">
        <w:rPr>
          <w:rFonts w:eastAsia="Times New Roman"/>
        </w:rPr>
        <w:t xml:space="preserve">ow can we stop admiring the problem </w:t>
      </w:r>
      <w:r w:rsidR="009E0FB1">
        <w:rPr>
          <w:rFonts w:eastAsia="Times New Roman"/>
          <w:lang w:val="en-US"/>
        </w:rPr>
        <w:t xml:space="preserve">of </w:t>
      </w:r>
      <w:r>
        <w:rPr>
          <w:rFonts w:eastAsia="Times New Roman"/>
          <w:lang w:val="en-US"/>
        </w:rPr>
        <w:t xml:space="preserve">the lack of political will </w:t>
      </w:r>
      <w:r w:rsidR="000F2FFD">
        <w:rPr>
          <w:rFonts w:eastAsia="Times New Roman"/>
        </w:rPr>
        <w:t xml:space="preserve">and move </w:t>
      </w:r>
      <w:proofErr w:type="gramStart"/>
      <w:r w:rsidR="000F2FFD">
        <w:rPr>
          <w:rFonts w:eastAsia="Times New Roman"/>
        </w:rPr>
        <w:t>into</w:t>
      </w:r>
      <w:proofErr w:type="gramEnd"/>
      <w:r w:rsidR="000F2FFD">
        <w:rPr>
          <w:rFonts w:eastAsia="Times New Roman"/>
        </w:rPr>
        <w:t xml:space="preserve"> addressing it?</w:t>
      </w:r>
    </w:p>
    <w:p w14:paraId="7325DE41" w14:textId="32819F23" w:rsidR="000F2FFD" w:rsidRDefault="000F2FFD" w:rsidP="000F2FFD">
      <w:pPr>
        <w:rPr>
          <w:rFonts w:eastAsia="Times New Roman"/>
        </w:rPr>
      </w:pPr>
      <w:r>
        <w:rPr>
          <w:rFonts w:eastAsia="Times New Roman"/>
        </w:rPr>
        <w:t xml:space="preserve">Drawing from what we've heard </w:t>
      </w:r>
      <w:r w:rsidR="002A6E84">
        <w:rPr>
          <w:rFonts w:eastAsia="Times New Roman"/>
          <w:lang w:val="en-US"/>
        </w:rPr>
        <w:t>throughout the Annual Meeting and strongly in today’s session’s</w:t>
      </w:r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su</w:t>
      </w:r>
      <w:proofErr w:type="spellEnd"/>
      <w:r w:rsidR="002A6E84">
        <w:rPr>
          <w:rFonts w:eastAsia="Times New Roman"/>
          <w:lang w:val="en-US"/>
        </w:rPr>
        <w:t>g</w:t>
      </w:r>
      <w:r>
        <w:rPr>
          <w:rFonts w:eastAsia="Times New Roman"/>
        </w:rPr>
        <w:t>gest:  </w:t>
      </w:r>
    </w:p>
    <w:p w14:paraId="0ECC4639" w14:textId="77777777" w:rsidR="000F2FFD" w:rsidRPr="000F2FFD" w:rsidRDefault="000F2FFD" w:rsidP="000F2FFD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0F2FFD">
        <w:rPr>
          <w:rFonts w:eastAsia="Times New Roman"/>
        </w:rPr>
        <w:t>Collectivities</w:t>
      </w:r>
      <w:proofErr w:type="spellEnd"/>
      <w:r w:rsidRPr="000F2FFD">
        <w:rPr>
          <w:rFonts w:eastAsia="Times New Roman"/>
        </w:rPr>
        <w:t> </w:t>
      </w:r>
    </w:p>
    <w:p w14:paraId="4DAEADAE" w14:textId="77777777" w:rsidR="000F2FFD" w:rsidRPr="000F2FFD" w:rsidRDefault="000F2FFD" w:rsidP="000F2FF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2FFD">
        <w:rPr>
          <w:rFonts w:eastAsia="Times New Roman"/>
        </w:rPr>
        <w:t>Coherence </w:t>
      </w:r>
    </w:p>
    <w:p w14:paraId="4149D629" w14:textId="31C2C214" w:rsidR="000F2FFD" w:rsidRDefault="000F2FFD" w:rsidP="000F2FF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2FFD">
        <w:rPr>
          <w:rFonts w:eastAsia="Times New Roman"/>
        </w:rPr>
        <w:t xml:space="preserve">Convening </w:t>
      </w:r>
    </w:p>
    <w:p w14:paraId="48A9B697" w14:textId="77777777" w:rsidR="000F2FFD" w:rsidRPr="000F2FFD" w:rsidRDefault="000F2FFD" w:rsidP="000F2FF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F2FFD">
        <w:rPr>
          <w:rFonts w:eastAsia="Times New Roman"/>
        </w:rPr>
        <w:t>Courage</w:t>
      </w:r>
    </w:p>
    <w:p w14:paraId="2D8FCD4F" w14:textId="77777777" w:rsidR="000F2FFD" w:rsidRDefault="000F2FFD" w:rsidP="000F2FFD">
      <w:pPr>
        <w:rPr>
          <w:rFonts w:eastAsia="Times New Roman"/>
        </w:rPr>
      </w:pPr>
    </w:p>
    <w:p w14:paraId="348E6A05" w14:textId="7368E2C4" w:rsidR="000F2FFD" w:rsidRDefault="000F2FFD" w:rsidP="000F2FFD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proofErr w:type="spellStart"/>
      <w:r w:rsidRPr="000F2FFD">
        <w:rPr>
          <w:rFonts w:eastAsia="Times New Roman"/>
        </w:rPr>
        <w:t>Collectivities</w:t>
      </w:r>
      <w:proofErr w:type="spellEnd"/>
      <w:r w:rsidRPr="000F2FFD">
        <w:rPr>
          <w:rFonts w:eastAsia="Times New Roman"/>
        </w:rPr>
        <w:t> </w:t>
      </w:r>
    </w:p>
    <w:p w14:paraId="22CC41C5" w14:textId="1AB67693" w:rsidR="00D845C5" w:rsidRPr="00C85AFE" w:rsidRDefault="000F2FFD" w:rsidP="00D8766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C85AFE">
        <w:rPr>
          <w:rFonts w:eastAsia="Times New Roman"/>
        </w:rPr>
        <w:t>Coming together, working together under the big umbrella of the Network but also small</w:t>
      </w:r>
      <w:r w:rsidR="003C5C3D">
        <w:rPr>
          <w:rFonts w:eastAsia="Times New Roman"/>
          <w:lang w:val="en-US"/>
        </w:rPr>
        <w:t>er</w:t>
      </w:r>
      <w:r w:rsidRPr="00C85AFE">
        <w:rPr>
          <w:rFonts w:eastAsia="Times New Roman"/>
        </w:rPr>
        <w:t xml:space="preserve"> groupings within that</w:t>
      </w:r>
      <w:r w:rsidR="003C5C3D">
        <w:rPr>
          <w:rFonts w:eastAsia="Times New Roman"/>
          <w:lang w:val="en-US"/>
        </w:rPr>
        <w:t xml:space="preserve">, for example </w:t>
      </w:r>
      <w:r w:rsidRPr="00C85AFE">
        <w:rPr>
          <w:rFonts w:eastAsia="Times New Roman"/>
        </w:rPr>
        <w:t xml:space="preserve">the workstreams, the country </w:t>
      </w:r>
      <w:r w:rsidR="00C85AFE" w:rsidRPr="00C85AFE">
        <w:rPr>
          <w:rFonts w:eastAsia="Times New Roman"/>
          <w:lang w:val="en-US"/>
        </w:rPr>
        <w:t>N</w:t>
      </w:r>
      <w:proofErr w:type="spellStart"/>
      <w:r w:rsidRPr="00C85AFE">
        <w:rPr>
          <w:rFonts w:eastAsia="Times New Roman"/>
        </w:rPr>
        <w:t>etworks</w:t>
      </w:r>
      <w:proofErr w:type="spellEnd"/>
      <w:r w:rsidR="00C85AFE" w:rsidRPr="00C85AFE">
        <w:rPr>
          <w:rFonts w:eastAsia="Times New Roman"/>
          <w:lang w:val="en-US"/>
        </w:rPr>
        <w:t>, the Migration Multi-Partner Trust Fund projects, and along specific routes</w:t>
      </w:r>
      <w:r w:rsidR="003C5C3D">
        <w:rPr>
          <w:rFonts w:eastAsia="Times New Roman"/>
          <w:lang w:val="en-US"/>
        </w:rPr>
        <w:t xml:space="preserve">. </w:t>
      </w:r>
    </w:p>
    <w:p w14:paraId="7DE849EC" w14:textId="77777777" w:rsidR="00D845C5" w:rsidRPr="00D845C5" w:rsidRDefault="00D845C5" w:rsidP="00D845C5">
      <w:pPr>
        <w:rPr>
          <w:rFonts w:eastAsia="Times New Roman"/>
        </w:rPr>
      </w:pPr>
    </w:p>
    <w:p w14:paraId="568607B9" w14:textId="5C85D8EB" w:rsidR="000F2FFD" w:rsidRDefault="000F2FFD" w:rsidP="000F2FFD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r w:rsidRPr="000F2FFD">
        <w:rPr>
          <w:rFonts w:eastAsia="Times New Roman"/>
        </w:rPr>
        <w:t>Coherence </w:t>
      </w:r>
    </w:p>
    <w:p w14:paraId="7741C0AD" w14:textId="3DEC8AE6" w:rsidR="00D845C5" w:rsidRPr="003C5C3D" w:rsidRDefault="00C85AFE" w:rsidP="00A1200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C5C3D">
        <w:rPr>
          <w:rFonts w:eastAsia="Times New Roman"/>
          <w:lang w:val="en-US"/>
        </w:rPr>
        <w:t xml:space="preserve">Coherence and complementarity drawing on </w:t>
      </w:r>
      <w:r w:rsidR="003C5C3D" w:rsidRPr="003C5C3D">
        <w:rPr>
          <w:rFonts w:eastAsia="Times New Roman"/>
          <w:lang w:val="en-US"/>
        </w:rPr>
        <w:t xml:space="preserve">the </w:t>
      </w:r>
      <w:r w:rsidRPr="003C5C3D">
        <w:rPr>
          <w:rFonts w:eastAsia="Times New Roman"/>
          <w:lang w:val="en-US"/>
        </w:rPr>
        <w:t xml:space="preserve">comparative </w:t>
      </w:r>
      <w:r w:rsidR="003C5C3D" w:rsidRPr="003C5C3D">
        <w:rPr>
          <w:rFonts w:eastAsia="Times New Roman"/>
          <w:lang w:val="en-US"/>
        </w:rPr>
        <w:t xml:space="preserve">advantage of the different </w:t>
      </w:r>
      <w:proofErr w:type="spellStart"/>
      <w:r w:rsidR="003C5C3D" w:rsidRPr="003C5C3D">
        <w:rPr>
          <w:rFonts w:eastAsia="Times New Roman"/>
          <w:lang w:val="en-US"/>
        </w:rPr>
        <w:t>organisations</w:t>
      </w:r>
      <w:proofErr w:type="spellEnd"/>
      <w:r w:rsidR="003C5C3D" w:rsidRPr="003C5C3D">
        <w:rPr>
          <w:rFonts w:eastAsia="Times New Roman"/>
          <w:lang w:val="en-US"/>
        </w:rPr>
        <w:t xml:space="preserve"> involved. </w:t>
      </w:r>
    </w:p>
    <w:p w14:paraId="256E50F9" w14:textId="77777777" w:rsidR="00D845C5" w:rsidRDefault="00D845C5" w:rsidP="00D845C5">
      <w:pPr>
        <w:rPr>
          <w:rFonts w:eastAsia="Times New Roman"/>
        </w:rPr>
      </w:pPr>
    </w:p>
    <w:p w14:paraId="6EC1B271" w14:textId="645BFD6A" w:rsidR="00D845C5" w:rsidRDefault="000F2FFD" w:rsidP="00D845C5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r w:rsidRPr="000F2FFD">
        <w:rPr>
          <w:rFonts w:eastAsia="Times New Roman"/>
        </w:rPr>
        <w:t>Convening (conversation) </w:t>
      </w:r>
    </w:p>
    <w:p w14:paraId="3163D9C8" w14:textId="5B689215" w:rsidR="00D845C5" w:rsidRDefault="003C5C3D" w:rsidP="003C5C3D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Convening the conversations that need to happen – building on those we have, like this here today but also the conversations we don’t have enough or don’t have yet: a clear message throughout this Annual Meeting has been for more conversation with migrants to </w:t>
      </w:r>
      <w:proofErr w:type="spellStart"/>
      <w:r>
        <w:rPr>
          <w:rFonts w:eastAsia="Times New Roman"/>
          <w:lang w:val="en-US"/>
        </w:rPr>
        <w:t>centre</w:t>
      </w:r>
      <w:proofErr w:type="spellEnd"/>
      <w:r>
        <w:rPr>
          <w:rFonts w:eastAsia="Times New Roman"/>
          <w:lang w:val="en-US"/>
        </w:rPr>
        <w:t xml:space="preserve"> their expertise and experience. </w:t>
      </w:r>
      <w:r w:rsidR="00BE7632">
        <w:rPr>
          <w:rFonts w:eastAsia="Times New Roman"/>
          <w:lang w:val="en-US"/>
        </w:rPr>
        <w:t xml:space="preserve">And asking who and how we can convene the conversations we need to engage political will – thinking specifically about the </w:t>
      </w:r>
      <w:r w:rsidR="00FD554D">
        <w:rPr>
          <w:rFonts w:eastAsia="Times New Roman"/>
          <w:lang w:val="en-US"/>
        </w:rPr>
        <w:t xml:space="preserve">follow up to the actionable recommendations on missing migrants and humanitarian assistance covered in the previous panel. These must be more than words on a page – who could have the convening power to bring together conversations to engage political will and the highest level? We would suggest a group of eminent experts or a </w:t>
      </w:r>
      <w:proofErr w:type="gramStart"/>
      <w:r w:rsidR="00FD554D">
        <w:rPr>
          <w:rFonts w:eastAsia="Times New Roman"/>
          <w:lang w:val="en-US"/>
        </w:rPr>
        <w:t>high level</w:t>
      </w:r>
      <w:proofErr w:type="gramEnd"/>
      <w:r w:rsidR="00FD554D">
        <w:rPr>
          <w:rFonts w:eastAsia="Times New Roman"/>
          <w:lang w:val="en-US"/>
        </w:rPr>
        <w:t xml:space="preserve"> panel to enable that. </w:t>
      </w:r>
    </w:p>
    <w:p w14:paraId="38B55ADC" w14:textId="77777777" w:rsidR="00FD554D" w:rsidRPr="003C5C3D" w:rsidRDefault="00FD554D" w:rsidP="00FD554D">
      <w:pPr>
        <w:pStyle w:val="ListParagraph"/>
        <w:ind w:left="1069"/>
        <w:rPr>
          <w:rFonts w:eastAsia="Times New Roman"/>
          <w:lang w:val="en-US"/>
        </w:rPr>
      </w:pPr>
    </w:p>
    <w:p w14:paraId="1CB944DE" w14:textId="77777777" w:rsidR="000F2FFD" w:rsidRDefault="000F2FFD" w:rsidP="000F2FFD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r w:rsidRPr="000F2FFD">
        <w:rPr>
          <w:rFonts w:eastAsia="Times New Roman"/>
        </w:rPr>
        <w:t>Courage</w:t>
      </w:r>
    </w:p>
    <w:p w14:paraId="550CDFA5" w14:textId="7037046B" w:rsidR="00FD554D" w:rsidRDefault="00FD554D" w:rsidP="00FD554D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 xml:space="preserve">Having the courage not just for small changes here and there but for the transformation we have heard the need for across these two days. </w:t>
      </w:r>
    </w:p>
    <w:p w14:paraId="76BF4EC0" w14:textId="77777777" w:rsidR="00FD554D" w:rsidRDefault="00FD554D" w:rsidP="00FD554D">
      <w:pPr>
        <w:rPr>
          <w:rFonts w:eastAsia="Times New Roman"/>
          <w:lang w:val="en-US"/>
        </w:rPr>
      </w:pPr>
    </w:p>
    <w:p w14:paraId="158E0B80" w14:textId="469C7C9B" w:rsidR="00FD554D" w:rsidRPr="00FD554D" w:rsidRDefault="00FD554D" w:rsidP="00FD554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And I have hope for this – from the way States keep coming together to make commitments, from the ideas, </w:t>
      </w:r>
      <w:proofErr w:type="gramStart"/>
      <w:r>
        <w:rPr>
          <w:rFonts w:eastAsia="Times New Roman"/>
          <w:lang w:val="en-US"/>
        </w:rPr>
        <w:t>examples</w:t>
      </w:r>
      <w:proofErr w:type="gramEnd"/>
      <w:r>
        <w:rPr>
          <w:rFonts w:eastAsia="Times New Roman"/>
          <w:lang w:val="en-US"/>
        </w:rPr>
        <w:t xml:space="preserve"> and commitment there is in this room and in the wider community around Network. </w:t>
      </w:r>
    </w:p>
    <w:p w14:paraId="75E03975" w14:textId="77777777" w:rsidR="002F5813" w:rsidRDefault="002F5813" w:rsidP="000F2FFD">
      <w:pPr>
        <w:rPr>
          <w:rFonts w:eastAsia="Times New Roman"/>
        </w:rPr>
      </w:pPr>
    </w:p>
    <w:p w14:paraId="1344173F" w14:textId="16740682" w:rsidR="00C43088" w:rsidRPr="00C43088" w:rsidRDefault="00C43088" w:rsidP="000F2FF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(Check against delivery)</w:t>
      </w:r>
    </w:p>
    <w:p w14:paraId="282AE7F3" w14:textId="77777777" w:rsidR="000F2FFD" w:rsidRDefault="000F2FFD" w:rsidP="000F2FFD">
      <w:pPr>
        <w:rPr>
          <w:rFonts w:eastAsia="Times New Roman"/>
        </w:rPr>
      </w:pPr>
    </w:p>
    <w:p w14:paraId="161C6212" w14:textId="77777777" w:rsidR="00C43088" w:rsidRDefault="00C43088" w:rsidP="00C43088">
      <w:pPr>
        <w:jc w:val="righ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Delivered by Laurel Townhead</w:t>
      </w:r>
    </w:p>
    <w:p w14:paraId="4275CBF8" w14:textId="23D225C3" w:rsidR="00692237" w:rsidRPr="00C43088" w:rsidRDefault="00C43088" w:rsidP="00C43088">
      <w:pPr>
        <w:jc w:val="righ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Representative, Human Rights and Refugees </w:t>
      </w:r>
    </w:p>
    <w:sectPr w:rsidR="00692237" w:rsidRPr="00C43088" w:rsidSect="00CC06C3">
      <w:headerReference w:type="first" r:id="rId10"/>
      <w:pgSz w:w="11906" w:h="16838"/>
      <w:pgMar w:top="156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6AA9" w14:textId="77777777" w:rsidR="002A6E84" w:rsidRDefault="002A6E84" w:rsidP="002A6E84">
      <w:r>
        <w:separator/>
      </w:r>
    </w:p>
  </w:endnote>
  <w:endnote w:type="continuationSeparator" w:id="0">
    <w:p w14:paraId="09CDC219" w14:textId="77777777" w:rsidR="002A6E84" w:rsidRDefault="002A6E84" w:rsidP="002A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0C78" w14:textId="77777777" w:rsidR="002A6E84" w:rsidRDefault="002A6E84" w:rsidP="002A6E84">
      <w:r>
        <w:separator/>
      </w:r>
    </w:p>
  </w:footnote>
  <w:footnote w:type="continuationSeparator" w:id="0">
    <w:p w14:paraId="5A8E32D2" w14:textId="77777777" w:rsidR="002A6E84" w:rsidRDefault="002A6E84" w:rsidP="002A6E84">
      <w:r>
        <w:continuationSeparator/>
      </w:r>
    </w:p>
  </w:footnote>
  <w:footnote w:id="1">
    <w:p w14:paraId="2132E0C8" w14:textId="1B7C29C3" w:rsidR="002A6E84" w:rsidRPr="002A6E84" w:rsidRDefault="002A6E8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66F59">
          <w:rPr>
            <w:rStyle w:val="Hyperlink"/>
          </w:rPr>
          <w:t>https://www.lrb.co.uk/the-paper/v39/n14/daniel-trilling/should-we-build-a-wall-around-north-wales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844D" w14:textId="77777777" w:rsidR="00CC06C3" w:rsidRPr="00CF4E66" w:rsidRDefault="00CC06C3" w:rsidP="00CC06C3">
    <w:pPr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41496333" w14:textId="77777777" w:rsidR="00CC06C3" w:rsidRPr="00CF4E66" w:rsidRDefault="00CC06C3" w:rsidP="00CC06C3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DEE91" wp14:editId="7EF6117B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3633F" w14:textId="77777777" w:rsidR="00CC06C3" w:rsidRDefault="00CC06C3" w:rsidP="00CC06C3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66E322A1" w14:textId="77777777" w:rsidR="00CC06C3" w:rsidRPr="00832FF3" w:rsidRDefault="00CC06C3" w:rsidP="00CC06C3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CH-1209 Geneva,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Switzerland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DEE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1363633F" w14:textId="77777777" w:rsidR="00CC06C3" w:rsidRDefault="00CC06C3" w:rsidP="00CC06C3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66E322A1" w14:textId="77777777" w:rsidR="00CC06C3" w:rsidRPr="00832FF3" w:rsidRDefault="00CC06C3" w:rsidP="00CC06C3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CH-1209 Geneva,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Switzerland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376F8494" w14:textId="00ECD21D" w:rsidR="00CC06C3" w:rsidRDefault="00360B01" w:rsidP="00CC06C3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A92E9" wp14:editId="42C3E98C">
              <wp:simplePos x="0" y="0"/>
              <wp:positionH relativeFrom="column">
                <wp:posOffset>4459605</wp:posOffset>
              </wp:positionH>
              <wp:positionV relativeFrom="paragraph">
                <wp:posOffset>129540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1AB6A" w14:textId="77777777" w:rsidR="00CC06C3" w:rsidRDefault="00CC06C3" w:rsidP="00CC06C3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346A1350" w14:textId="77777777" w:rsidR="00CC06C3" w:rsidRDefault="00CC06C3" w:rsidP="00CC06C3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A92E9" id="Text Box 9" o:spid="_x0000_s1027" type="#_x0000_t202" style="position:absolute;margin-left:351.15pt;margin-top:10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" stroked="f" strokeweight=".05pt">
              <v:textbox inset="0,0,0,0">
                <w:txbxContent>
                  <w:p w14:paraId="54D1AB6A" w14:textId="77777777" w:rsidR="00CC06C3" w:rsidRDefault="00CC06C3" w:rsidP="00CC06C3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346A1350" w14:textId="77777777" w:rsidR="00CC06C3" w:rsidRDefault="00CC06C3" w:rsidP="00CC06C3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CC06C3"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98F99" wp14:editId="55B77759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D14A" w14:textId="77777777" w:rsidR="00CC06C3" w:rsidRDefault="00CC06C3" w:rsidP="00CC06C3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98F99" id="Text Box 8" o:spid="_x0000_s1028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4D69D14A" w14:textId="77777777" w:rsidR="00CC06C3" w:rsidRDefault="00CC06C3" w:rsidP="00CC06C3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6C3" w:rsidRPr="00C93D7E">
      <w:rPr>
        <w:noProof/>
        <w:lang w:val="en-US"/>
      </w:rPr>
      <w:drawing>
        <wp:inline distT="0" distB="0" distL="0" distR="0" wp14:anchorId="11073FB6" wp14:editId="5E23F4DE">
          <wp:extent cx="609600" cy="542925"/>
          <wp:effectExtent l="0" t="0" r="0" b="9525"/>
          <wp:docPr id="7" name="Picture 7" descr="A logo with a star in the cen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logo with a star in the cen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C06C3">
      <w:rPr>
        <w:color w:val="000000"/>
      </w:rPr>
      <w:t xml:space="preserve">  </w:t>
    </w:r>
  </w:p>
  <w:p w14:paraId="37371CA7" w14:textId="77777777" w:rsidR="00CC06C3" w:rsidRDefault="00CC0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7A0"/>
    <w:multiLevelType w:val="hybridMultilevel"/>
    <w:tmpl w:val="EF567FE8"/>
    <w:lvl w:ilvl="0" w:tplc="BEF2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F4181"/>
    <w:multiLevelType w:val="hybridMultilevel"/>
    <w:tmpl w:val="58B471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496C"/>
    <w:multiLevelType w:val="hybridMultilevel"/>
    <w:tmpl w:val="0A22041A"/>
    <w:lvl w:ilvl="0" w:tplc="B392905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84381209">
    <w:abstractNumId w:val="1"/>
  </w:num>
  <w:num w:numId="2" w16cid:durableId="939726190">
    <w:abstractNumId w:val="0"/>
  </w:num>
  <w:num w:numId="3" w16cid:durableId="102690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D"/>
    <w:rsid w:val="000F2FFD"/>
    <w:rsid w:val="001C1771"/>
    <w:rsid w:val="002A6E84"/>
    <w:rsid w:val="002F5813"/>
    <w:rsid w:val="00360B01"/>
    <w:rsid w:val="003C5C3D"/>
    <w:rsid w:val="004C6BDD"/>
    <w:rsid w:val="005C3672"/>
    <w:rsid w:val="00692237"/>
    <w:rsid w:val="007C260C"/>
    <w:rsid w:val="008B24A7"/>
    <w:rsid w:val="009611F1"/>
    <w:rsid w:val="009E0FB1"/>
    <w:rsid w:val="00AD34F9"/>
    <w:rsid w:val="00BE7632"/>
    <w:rsid w:val="00C43088"/>
    <w:rsid w:val="00C85AFE"/>
    <w:rsid w:val="00CA63F0"/>
    <w:rsid w:val="00CC06C3"/>
    <w:rsid w:val="00D845C5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2E45"/>
  <w15:chartTrackingRefBased/>
  <w15:docId w15:val="{BCBFFCB1-2F14-488A-BFA0-0051313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FD"/>
    <w:pPr>
      <w:spacing w:after="0" w:line="240" w:lineRule="auto"/>
    </w:pPr>
    <w:rPr>
      <w:rFonts w:ascii="Calibri" w:hAnsi="Calibri" w:cs="Calibri"/>
      <w:kern w:val="0"/>
      <w:lang w:eastAsia="en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F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E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E84"/>
    <w:rPr>
      <w:rFonts w:ascii="Calibri" w:hAnsi="Calibri" w:cs="Calibri"/>
      <w:kern w:val="0"/>
      <w:sz w:val="20"/>
      <w:szCs w:val="20"/>
      <w:lang w:eastAsia="en-CH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A6E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6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C3"/>
    <w:rPr>
      <w:rFonts w:ascii="Calibri" w:hAnsi="Calibri" w:cs="Calibri"/>
      <w:kern w:val="0"/>
      <w:lang w:eastAsia="en-CH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0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C3"/>
    <w:rPr>
      <w:rFonts w:ascii="Calibri" w:hAnsi="Calibri" w:cs="Calibri"/>
      <w:kern w:val="0"/>
      <w:lang w:eastAsia="en-CH"/>
      <w14:ligatures w14:val="none"/>
    </w:rPr>
  </w:style>
  <w:style w:type="paragraph" w:customStyle="1" w:styleId="FrameContents">
    <w:name w:val="Frame Contents"/>
    <w:basedOn w:val="Normal"/>
    <w:rsid w:val="00CC06C3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rb.co.uk/the-paper/v39/n14/daniel-trilling/should-we-build-a-wall-around-north-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9d312c-690d-4ce7-af4e-1157946e4b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8A97A75BB5A448CBE2F8B763C1614" ma:contentTypeVersion="16" ma:contentTypeDescription="Crée un document." ma:contentTypeScope="" ma:versionID="620bc61cd9c2b1ae1a95eb4b187c076b">
  <xsd:schema xmlns:xsd="http://www.w3.org/2001/XMLSchema" xmlns:xs="http://www.w3.org/2001/XMLSchema" xmlns:p="http://schemas.microsoft.com/office/2006/metadata/properties" xmlns:ns3="ac4dc55b-3cc1-40ea-b057-129540606336" xmlns:ns4="949d312c-690d-4ce7-af4e-1157946e4b47" targetNamespace="http://schemas.microsoft.com/office/2006/metadata/properties" ma:root="true" ma:fieldsID="250e8108cfac1840b18388175faf77c2" ns3:_="" ns4:_="">
    <xsd:import namespace="ac4dc55b-3cc1-40ea-b057-129540606336"/>
    <xsd:import namespace="949d312c-690d-4ce7-af4e-1157946e4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c55b-3cc1-40ea-b057-12954060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d312c-690d-4ce7-af4e-1157946e4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01333-37E6-47B5-A42A-9FBB0158EEE8}">
  <ds:schemaRefs>
    <ds:schemaRef ds:uri="http://purl.org/dc/terms/"/>
    <ds:schemaRef ds:uri="http://schemas.microsoft.com/office/2006/documentManagement/types"/>
    <ds:schemaRef ds:uri="ac4dc55b-3cc1-40ea-b057-129540606336"/>
    <ds:schemaRef ds:uri="http://schemas.microsoft.com/office/2006/metadata/properties"/>
    <ds:schemaRef ds:uri="949d312c-690d-4ce7-af4e-1157946e4b4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8DC372-4CD2-4A02-8BF0-8F26C7F9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6C769-D7C0-445B-88FA-057DF0D5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c55b-3cc1-40ea-b057-129540606336"/>
    <ds:schemaRef ds:uri="949d312c-690d-4ce7-af4e-1157946e4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10</cp:revision>
  <dcterms:created xsi:type="dcterms:W3CDTF">2024-01-31T15:44:00Z</dcterms:created>
  <dcterms:modified xsi:type="dcterms:W3CDTF">2024-01-31T16:02:00Z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0x0101008338A97A75BB5A448CBE2F8B763C1614</vt:lpwstr>
  </property>
</Properties>
</file>